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7619CA" w:rsidRPr="004C1FDF" w:rsidRDefault="004C1FDF">
      <w:pPr>
        <w:rPr>
          <w:b/>
          <w:sz w:val="28"/>
          <w:szCs w:val="28"/>
        </w:rPr>
      </w:pPr>
      <w:r>
        <w:rPr>
          <w:b/>
          <w:sz w:val="28"/>
          <w:szCs w:val="28"/>
          <w:lang w:val="en-US"/>
        </w:rPr>
        <w:t>Project</w:t>
      </w:r>
      <w:r w:rsidRPr="004C1FDF">
        <w:rPr>
          <w:b/>
          <w:sz w:val="28"/>
          <w:szCs w:val="28"/>
        </w:rPr>
        <w:t xml:space="preserve"> #1 </w:t>
      </w:r>
      <w:r>
        <w:rPr>
          <w:b/>
          <w:sz w:val="28"/>
          <w:szCs w:val="28"/>
          <w:lang w:val="en-US"/>
        </w:rPr>
        <w:t>Hydrologic</w:t>
      </w:r>
      <w:r w:rsidRPr="004C1FDF">
        <w:rPr>
          <w:b/>
          <w:sz w:val="28"/>
          <w:szCs w:val="28"/>
        </w:rPr>
        <w:t xml:space="preserve"> </w:t>
      </w:r>
      <w:r>
        <w:rPr>
          <w:b/>
          <w:sz w:val="28"/>
          <w:szCs w:val="28"/>
          <w:lang w:val="en-US"/>
        </w:rPr>
        <w:t>Calibration</w:t>
      </w:r>
      <w:r w:rsidRPr="004C1FDF">
        <w:rPr>
          <w:b/>
          <w:sz w:val="28"/>
          <w:szCs w:val="28"/>
        </w:rPr>
        <w:t xml:space="preserve"> </w:t>
      </w:r>
      <w:r>
        <w:rPr>
          <w:b/>
          <w:sz w:val="28"/>
          <w:szCs w:val="28"/>
          <w:lang w:val="en-US"/>
        </w:rPr>
        <w:t>of</w:t>
      </w:r>
      <w:r w:rsidRPr="004C1FDF">
        <w:rPr>
          <w:b/>
          <w:sz w:val="28"/>
          <w:szCs w:val="28"/>
        </w:rPr>
        <w:t xml:space="preserve"> </w:t>
      </w:r>
      <w:r>
        <w:rPr>
          <w:b/>
          <w:sz w:val="28"/>
          <w:szCs w:val="28"/>
          <w:lang w:val="en-US"/>
        </w:rPr>
        <w:t>SWAT</w:t>
      </w:r>
    </w:p>
    <w:p w:rsidR="004C1FDF" w:rsidRPr="009F3E9E" w:rsidRDefault="004C1FDF" w:rsidP="007619CA">
      <w:pPr>
        <w:jc w:val="both"/>
        <w:rPr>
          <w:sz w:val="24"/>
          <w:szCs w:val="24"/>
        </w:rPr>
      </w:pPr>
      <w:r w:rsidRPr="009F3E9E">
        <w:rPr>
          <w:sz w:val="24"/>
          <w:szCs w:val="24"/>
        </w:rPr>
        <w:t>Η εργασία αυτή σχετίζεται με</w:t>
      </w:r>
      <w:r w:rsidR="008D002C" w:rsidRPr="009F3E9E">
        <w:rPr>
          <w:sz w:val="24"/>
          <w:szCs w:val="24"/>
        </w:rPr>
        <w:t xml:space="preserve"> την διαδικασία της βαθμονόμησης </w:t>
      </w:r>
      <w:r w:rsidRPr="009F3E9E">
        <w:rPr>
          <w:sz w:val="24"/>
          <w:szCs w:val="24"/>
        </w:rPr>
        <w:t xml:space="preserve">του μοντέλου </w:t>
      </w:r>
      <w:r w:rsidRPr="009F3E9E">
        <w:rPr>
          <w:sz w:val="24"/>
          <w:szCs w:val="24"/>
          <w:lang w:val="en-US"/>
        </w:rPr>
        <w:t>SWAT</w:t>
      </w:r>
      <w:r w:rsidRPr="009F3E9E">
        <w:rPr>
          <w:sz w:val="24"/>
          <w:szCs w:val="24"/>
        </w:rPr>
        <w:t xml:space="preserve"> για την λεκάνη απορροής του ποταμού </w:t>
      </w:r>
      <w:proofErr w:type="spellStart"/>
      <w:r w:rsidRPr="009F3E9E">
        <w:rPr>
          <w:sz w:val="24"/>
          <w:szCs w:val="24"/>
        </w:rPr>
        <w:t>Ταυρωνίτη</w:t>
      </w:r>
      <w:proofErr w:type="spellEnd"/>
      <w:r w:rsidRPr="009F3E9E">
        <w:rPr>
          <w:sz w:val="24"/>
          <w:szCs w:val="24"/>
        </w:rPr>
        <w:t xml:space="preserve">.  Η διαδικασία της βαθμονόμησης όπως είδατε και στις διαλέξεις, αναφέρεται στην αλλαγή των τιμών των παραμέτρων του μοντέλου ούτως ώστε η </w:t>
      </w:r>
      <w:proofErr w:type="spellStart"/>
      <w:r w:rsidRPr="009F3E9E">
        <w:rPr>
          <w:sz w:val="24"/>
          <w:szCs w:val="24"/>
        </w:rPr>
        <w:t>μοντελοποιημένη</w:t>
      </w:r>
      <w:proofErr w:type="spellEnd"/>
      <w:r w:rsidRPr="009F3E9E">
        <w:rPr>
          <w:sz w:val="24"/>
          <w:szCs w:val="24"/>
        </w:rPr>
        <w:t xml:space="preserve"> παροχή να πλησιάζει στις τιμές των μετρήσεων πεδίου</w:t>
      </w:r>
      <w:r w:rsidR="001A0DA9" w:rsidRPr="009F3E9E">
        <w:rPr>
          <w:sz w:val="24"/>
          <w:szCs w:val="24"/>
        </w:rPr>
        <w:t xml:space="preserve">. </w:t>
      </w:r>
      <w:bookmarkStart w:id="0" w:name="_GoBack"/>
      <w:bookmarkEnd w:id="0"/>
      <w:r w:rsidR="001A0DA9" w:rsidRPr="009F3E9E">
        <w:rPr>
          <w:sz w:val="24"/>
          <w:szCs w:val="24"/>
        </w:rPr>
        <w:t xml:space="preserve">Για να δούμε πόσο καλή είναι η προσομοίωση χρησιμοποιούμε τους παρακάτω 3 στατιστικούς δείκτες και τα </w:t>
      </w:r>
      <w:r w:rsidR="001A0DA9" w:rsidRPr="009F3E9E">
        <w:rPr>
          <w:sz w:val="24"/>
          <w:szCs w:val="24"/>
        </w:rPr>
        <w:t xml:space="preserve">επιτρεπτά όρια των δεικτών </w:t>
      </w:r>
      <w:r w:rsidR="001A0DA9" w:rsidRPr="009F3E9E">
        <w:rPr>
          <w:sz w:val="24"/>
          <w:szCs w:val="24"/>
        </w:rPr>
        <w:t xml:space="preserve">που </w:t>
      </w:r>
      <w:r w:rsidR="001A0DA9" w:rsidRPr="009F3E9E">
        <w:rPr>
          <w:sz w:val="24"/>
          <w:szCs w:val="24"/>
        </w:rPr>
        <w:t>παρουσιάζονται στον πίνακα</w:t>
      </w:r>
      <w:r w:rsidR="001A0DA9" w:rsidRPr="009F3E9E">
        <w:rPr>
          <w:sz w:val="24"/>
          <w:szCs w:val="24"/>
        </w:rPr>
        <w:t>. Οι</w:t>
      </w:r>
      <w:r w:rsidR="001A0DA9" w:rsidRPr="009F3E9E">
        <w:rPr>
          <w:sz w:val="24"/>
          <w:szCs w:val="24"/>
          <w:lang w:val="en-US"/>
        </w:rPr>
        <w:t xml:space="preserve"> </w:t>
      </w:r>
      <w:r w:rsidR="001A0DA9" w:rsidRPr="009F3E9E">
        <w:rPr>
          <w:sz w:val="24"/>
          <w:szCs w:val="24"/>
        </w:rPr>
        <w:t>δείκτες</w:t>
      </w:r>
      <w:r w:rsidR="001A0DA9" w:rsidRPr="009F3E9E">
        <w:rPr>
          <w:sz w:val="24"/>
          <w:szCs w:val="24"/>
          <w:lang w:val="en-US"/>
        </w:rPr>
        <w:t xml:space="preserve"> </w:t>
      </w:r>
      <w:r w:rsidR="001A0DA9" w:rsidRPr="009F3E9E">
        <w:rPr>
          <w:sz w:val="24"/>
          <w:szCs w:val="24"/>
        </w:rPr>
        <w:t>είναι</w:t>
      </w:r>
      <w:r w:rsidR="001A0DA9" w:rsidRPr="009F3E9E">
        <w:rPr>
          <w:sz w:val="24"/>
          <w:szCs w:val="24"/>
          <w:lang w:val="en-US"/>
        </w:rPr>
        <w:t xml:space="preserve"> </w:t>
      </w:r>
      <w:r w:rsidR="001A0DA9" w:rsidRPr="009F3E9E">
        <w:rPr>
          <w:sz w:val="24"/>
          <w:szCs w:val="24"/>
        </w:rPr>
        <w:t>οι</w:t>
      </w:r>
      <w:r w:rsidR="001A0DA9" w:rsidRPr="009F3E9E">
        <w:rPr>
          <w:sz w:val="24"/>
          <w:szCs w:val="24"/>
          <w:lang w:val="en-US"/>
        </w:rPr>
        <w:t xml:space="preserve"> </w:t>
      </w:r>
      <w:r w:rsidR="001A0DA9" w:rsidRPr="009F3E9E">
        <w:rPr>
          <w:sz w:val="24"/>
          <w:szCs w:val="24"/>
          <w:lang w:val="en-US"/>
        </w:rPr>
        <w:t>Nash-Sutcliffe efficiency (NSE), percent bias (PBIAS), and ratio of the root mean square error to the standard deviation of measured data (RSR)</w:t>
      </w:r>
      <w:r w:rsidR="001A0DA9" w:rsidRPr="009F3E9E">
        <w:rPr>
          <w:sz w:val="24"/>
          <w:szCs w:val="24"/>
          <w:lang w:val="en-US"/>
        </w:rPr>
        <w:t>.</w:t>
      </w:r>
      <w:r w:rsidR="009A41A7" w:rsidRPr="009F3E9E">
        <w:rPr>
          <w:sz w:val="24"/>
          <w:szCs w:val="24"/>
          <w:lang w:val="en-US"/>
        </w:rPr>
        <w:t xml:space="preserve"> </w:t>
      </w:r>
      <w:r w:rsidR="009A41A7" w:rsidRPr="009F3E9E">
        <w:rPr>
          <w:sz w:val="24"/>
          <w:szCs w:val="24"/>
        </w:rPr>
        <w:t xml:space="preserve">Ο στόχος της βαθμονόμησης θα είναι οι 3 δείκτες να είναι </w:t>
      </w:r>
      <w:r w:rsidR="009A41A7" w:rsidRPr="009F3E9E">
        <w:rPr>
          <w:sz w:val="24"/>
          <w:szCs w:val="24"/>
          <w:lang w:val="en-US"/>
        </w:rPr>
        <w:t>Satisfactory</w:t>
      </w:r>
      <w:r w:rsidR="009A41A7" w:rsidRPr="009F3E9E">
        <w:rPr>
          <w:sz w:val="24"/>
          <w:szCs w:val="24"/>
        </w:rPr>
        <w:t xml:space="preserve"> και καλύτεροι)</w:t>
      </w:r>
    </w:p>
    <w:p w:rsidR="001A0DA9" w:rsidRPr="009F3E9E" w:rsidRDefault="001A0DA9" w:rsidP="001A0DA9">
      <w:pPr>
        <w:pStyle w:val="Caption"/>
        <w:keepNext/>
        <w:jc w:val="both"/>
        <w:rPr>
          <w:sz w:val="24"/>
          <w:szCs w:val="24"/>
        </w:rPr>
      </w:pPr>
      <w:bookmarkStart w:id="1" w:name="_Toc431113458"/>
      <w:r w:rsidRPr="009F3E9E">
        <w:rPr>
          <w:sz w:val="24"/>
          <w:szCs w:val="24"/>
        </w:rPr>
        <w:t xml:space="preserve">Πίνακας: Κριτήρια αξιολόγησης της προσομοίωσης </w:t>
      </w:r>
      <w:r w:rsidRPr="009F3E9E">
        <w:rPr>
          <w:sz w:val="24"/>
          <w:szCs w:val="24"/>
        </w:rPr>
        <w:fldChar w:fldCharType="begin" w:fldLock="1"/>
      </w:r>
      <w:r w:rsidRPr="009F3E9E">
        <w:rPr>
          <w:sz w:val="24"/>
          <w:szCs w:val="24"/>
        </w:rPr>
        <w:instrText>ADDIN CSL_CITATION { "citationItems" : [ { "id" : "ITEM-1", "itemData" : { "DOI" : "10.13031/2013.23153", "ISBN" : "0001-2351", "ISSN" : "0001-2351", "abstract" : "Watershed models are powerful tools for simulating the effect of watershed processes and management on soil and water resources. However, no comprehensive guidance is available to facilitate model evaluation in terms of the accuracy of simulated data compared to measured flow and constituent values. Thus, the objectives of this research were to: (1) determine recommended model evaluation techniques (statistical and graphical), (2) review reported ranges of values and corresponding performance ratings for the recommended statistics, and (3) establish guidelines for model evaluation based on the review results and project-specific considerations; all of these objectives focus on simulation of streamflow and transport of sediment and nutrients. These objectives were achieved with a thorough review of relevant literature on model application and recommended model evaluation methods. Based on this analysis, we recommend that three quantitative statistics, Nash-Sutcliffe efficiency (NSE), percent bias (PBIAS), and ratio of the root mean square error to the standard deviation of measured data (RSR), in addition to the graphical techniques, be used in model evaluation. The following model evaluation performance ratings were established for each recommended statistic. In general, model simulation can be judged as satisfactory if NSE &gt; 0.50 and RSR &lt; 0.70, and if PBIAS ? 25% for streamflow, PBIAS ? 55% for sediment, and PBIAS ? 70% for N and P. For PBIAS, constituent-specific performance ratings were determined based on uncertainty of measured data. Additional considerations related to model evaluation guidelines are also discussed. These considerations include: single-event simulation, quality and quantity of measured data, model calibration procedure, evaluation time step, and project scope and magnitude. A case study illustrating the application of the model evaluation guidelines is also provided.", "author" : [ { "dropping-particle" : "", "family" : "Moriasi", "given" : "Dn", "non-dropping-particle" : "", "parse-names" : false, "suffix" : "" }, { "dropping-particle" : "", "family" : "Arnold", "given" : "Jg", "non-dropping-particle" : "", "parse-names" : false, "suffix" : "" } ], "container-title" : "Transactions of the \u2026", "id" : "ITEM-1", "issue" : "3", "issued" : { "date-parts" : [ [ "2007" ] ] }, "page" : "885-900", "title" : "Model evaluation guidelines for systematic quantification of accuracy in watershed simulations", "type" : "article-journal", "volume" : "50" }, "uris" : [ "http://www.mendeley.com/documents/?uuid=76025204-329a-463e-8fc1-8d67c48919d7" ] } ], "mendeley" : { "formattedCitation" : "(Moriasi &amp; Arnold 2007)", "plainTextFormattedCitation" : "(Moriasi &amp; Arnold 2007)", "previouslyFormattedCitation" : "(Moriasi &amp; Arnold 2007)" }, "properties" : { "noteIndex" : 0 }, "schema" : "https://github.com/citation-style-language/schema/raw/master/csl-citation.json" }</w:instrText>
      </w:r>
      <w:r w:rsidRPr="009F3E9E">
        <w:rPr>
          <w:sz w:val="24"/>
          <w:szCs w:val="24"/>
        </w:rPr>
        <w:fldChar w:fldCharType="separate"/>
      </w:r>
      <w:r w:rsidRPr="009F3E9E">
        <w:rPr>
          <w:noProof/>
          <w:sz w:val="24"/>
          <w:szCs w:val="24"/>
        </w:rPr>
        <w:t>(Moriasi &amp; Arnold 2007)</w:t>
      </w:r>
      <w:r w:rsidRPr="009F3E9E">
        <w:rPr>
          <w:sz w:val="24"/>
          <w:szCs w:val="24"/>
        </w:rPr>
        <w:fldChar w:fldCharType="end"/>
      </w:r>
      <w:r w:rsidRPr="009F3E9E">
        <w:rPr>
          <w:sz w:val="24"/>
          <w:szCs w:val="24"/>
        </w:rPr>
        <w:t>)</w:t>
      </w:r>
      <w:bookmarkEnd w:id="1"/>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65"/>
        <w:gridCol w:w="1926"/>
        <w:gridCol w:w="1939"/>
        <w:gridCol w:w="2002"/>
        <w:gridCol w:w="2004"/>
      </w:tblGrid>
      <w:tr w:rsidR="001A0DA9" w:rsidRPr="009F3E9E" w:rsidTr="00AC58C6">
        <w:tc>
          <w:tcPr>
            <w:tcW w:w="958" w:type="pct"/>
            <w:vMerge w:val="restart"/>
            <w:shd w:val="clear" w:color="auto" w:fill="4472C4"/>
            <w:vAlign w:val="center"/>
          </w:tcPr>
          <w:p w:rsidR="001A0DA9" w:rsidRPr="009F3E9E" w:rsidRDefault="001A0DA9" w:rsidP="00AC58C6">
            <w:pPr>
              <w:spacing w:after="0" w:line="240" w:lineRule="auto"/>
              <w:jc w:val="center"/>
              <w:rPr>
                <w:b/>
                <w:bCs/>
                <w:color w:val="FFFFFF"/>
                <w:sz w:val="24"/>
                <w:szCs w:val="24"/>
              </w:rPr>
            </w:pPr>
            <w:r w:rsidRPr="009F3E9E">
              <w:rPr>
                <w:b/>
                <w:bCs/>
                <w:color w:val="FFFFFF"/>
                <w:sz w:val="24"/>
                <w:szCs w:val="24"/>
                <w:lang w:val="en-US"/>
              </w:rPr>
              <w:t>Performance</w:t>
            </w:r>
            <w:r w:rsidRPr="009F3E9E">
              <w:rPr>
                <w:b/>
                <w:bCs/>
                <w:color w:val="FFFFFF"/>
                <w:sz w:val="24"/>
                <w:szCs w:val="24"/>
              </w:rPr>
              <w:t xml:space="preserve"> </w:t>
            </w:r>
            <w:r w:rsidRPr="009F3E9E">
              <w:rPr>
                <w:b/>
                <w:bCs/>
                <w:color w:val="FFFFFF"/>
                <w:sz w:val="24"/>
                <w:szCs w:val="24"/>
                <w:lang w:val="en-US"/>
              </w:rPr>
              <w:t>Rating</w:t>
            </w:r>
          </w:p>
        </w:tc>
        <w:tc>
          <w:tcPr>
            <w:tcW w:w="989" w:type="pct"/>
            <w:vMerge w:val="restart"/>
            <w:shd w:val="clear" w:color="auto" w:fill="4472C4"/>
            <w:vAlign w:val="center"/>
          </w:tcPr>
          <w:p w:rsidR="001A0DA9" w:rsidRPr="009F3E9E" w:rsidRDefault="001A0DA9" w:rsidP="00AC58C6">
            <w:pPr>
              <w:spacing w:after="0" w:line="240" w:lineRule="auto"/>
              <w:jc w:val="center"/>
              <w:rPr>
                <w:b/>
                <w:bCs/>
                <w:color w:val="FFFFFF"/>
                <w:sz w:val="24"/>
                <w:szCs w:val="24"/>
              </w:rPr>
            </w:pPr>
            <w:r w:rsidRPr="009F3E9E">
              <w:rPr>
                <w:b/>
                <w:bCs/>
                <w:color w:val="FFFFFF"/>
                <w:sz w:val="24"/>
                <w:szCs w:val="24"/>
                <w:lang w:val="en-US"/>
              </w:rPr>
              <w:t>RSR</w:t>
            </w:r>
          </w:p>
        </w:tc>
        <w:tc>
          <w:tcPr>
            <w:tcW w:w="996" w:type="pct"/>
            <w:vMerge w:val="restart"/>
            <w:shd w:val="clear" w:color="auto" w:fill="4472C4"/>
            <w:vAlign w:val="center"/>
          </w:tcPr>
          <w:p w:rsidR="001A0DA9" w:rsidRPr="009F3E9E" w:rsidRDefault="001A0DA9" w:rsidP="00AC58C6">
            <w:pPr>
              <w:spacing w:after="0" w:line="240" w:lineRule="auto"/>
              <w:jc w:val="center"/>
              <w:rPr>
                <w:b/>
                <w:bCs/>
                <w:color w:val="FFFFFF"/>
                <w:sz w:val="24"/>
                <w:szCs w:val="24"/>
              </w:rPr>
            </w:pPr>
            <w:r w:rsidRPr="009F3E9E">
              <w:rPr>
                <w:b/>
                <w:bCs/>
                <w:color w:val="FFFFFF"/>
                <w:sz w:val="24"/>
                <w:szCs w:val="24"/>
                <w:lang w:val="en-US"/>
              </w:rPr>
              <w:t>NSE</w:t>
            </w:r>
          </w:p>
        </w:tc>
        <w:tc>
          <w:tcPr>
            <w:tcW w:w="2057" w:type="pct"/>
            <w:gridSpan w:val="2"/>
            <w:shd w:val="clear" w:color="auto" w:fill="4472C4"/>
            <w:vAlign w:val="center"/>
          </w:tcPr>
          <w:p w:rsidR="001A0DA9" w:rsidRPr="009F3E9E" w:rsidRDefault="001A0DA9" w:rsidP="00AC58C6">
            <w:pPr>
              <w:spacing w:after="0" w:line="240" w:lineRule="auto"/>
              <w:jc w:val="center"/>
              <w:rPr>
                <w:b/>
                <w:bCs/>
                <w:color w:val="FFFFFF"/>
                <w:sz w:val="24"/>
                <w:szCs w:val="24"/>
              </w:rPr>
            </w:pPr>
            <w:r w:rsidRPr="009F3E9E">
              <w:rPr>
                <w:b/>
                <w:bCs/>
                <w:color w:val="FFFFFF"/>
                <w:sz w:val="24"/>
                <w:szCs w:val="24"/>
                <w:lang w:val="en-US"/>
              </w:rPr>
              <w:t>PBIAS</w:t>
            </w:r>
            <w:r w:rsidRPr="009F3E9E">
              <w:rPr>
                <w:b/>
                <w:bCs/>
                <w:color w:val="FFFFFF"/>
                <w:sz w:val="24"/>
                <w:szCs w:val="24"/>
              </w:rPr>
              <w:t xml:space="preserve"> (%)</w:t>
            </w:r>
          </w:p>
        </w:tc>
      </w:tr>
      <w:tr w:rsidR="001A0DA9" w:rsidRPr="009F3E9E" w:rsidTr="00AC58C6">
        <w:tc>
          <w:tcPr>
            <w:tcW w:w="958" w:type="pct"/>
            <w:vMerge/>
            <w:shd w:val="clear" w:color="auto" w:fill="D9E2F3"/>
            <w:vAlign w:val="center"/>
          </w:tcPr>
          <w:p w:rsidR="001A0DA9" w:rsidRPr="009F3E9E" w:rsidRDefault="001A0DA9" w:rsidP="00AC58C6">
            <w:pPr>
              <w:spacing w:after="0" w:line="240" w:lineRule="auto"/>
              <w:jc w:val="center"/>
              <w:rPr>
                <w:b/>
                <w:bCs/>
                <w:sz w:val="24"/>
                <w:szCs w:val="24"/>
              </w:rPr>
            </w:pPr>
          </w:p>
        </w:tc>
        <w:tc>
          <w:tcPr>
            <w:tcW w:w="989" w:type="pct"/>
            <w:vMerge/>
            <w:shd w:val="clear" w:color="auto" w:fill="D9E2F3"/>
            <w:vAlign w:val="center"/>
          </w:tcPr>
          <w:p w:rsidR="001A0DA9" w:rsidRPr="009F3E9E" w:rsidRDefault="001A0DA9" w:rsidP="00AC58C6">
            <w:pPr>
              <w:spacing w:after="0" w:line="240" w:lineRule="auto"/>
              <w:jc w:val="center"/>
              <w:rPr>
                <w:sz w:val="24"/>
                <w:szCs w:val="24"/>
              </w:rPr>
            </w:pPr>
          </w:p>
        </w:tc>
        <w:tc>
          <w:tcPr>
            <w:tcW w:w="996" w:type="pct"/>
            <w:vMerge/>
            <w:shd w:val="clear" w:color="auto" w:fill="D9E2F3"/>
            <w:vAlign w:val="center"/>
          </w:tcPr>
          <w:p w:rsidR="001A0DA9" w:rsidRPr="009F3E9E" w:rsidRDefault="001A0DA9" w:rsidP="00AC58C6">
            <w:pPr>
              <w:spacing w:after="0" w:line="240" w:lineRule="auto"/>
              <w:jc w:val="center"/>
              <w:rPr>
                <w:sz w:val="24"/>
                <w:szCs w:val="24"/>
              </w:rPr>
            </w:pPr>
          </w:p>
        </w:tc>
        <w:tc>
          <w:tcPr>
            <w:tcW w:w="1028" w:type="pct"/>
            <w:shd w:val="clear" w:color="auto" w:fill="4472C4"/>
            <w:vAlign w:val="center"/>
          </w:tcPr>
          <w:p w:rsidR="001A0DA9" w:rsidRPr="009F3E9E" w:rsidRDefault="001A0DA9" w:rsidP="00AC58C6">
            <w:pPr>
              <w:spacing w:after="0" w:line="240" w:lineRule="auto"/>
              <w:jc w:val="center"/>
              <w:rPr>
                <w:color w:val="FFFFFF"/>
                <w:sz w:val="24"/>
                <w:szCs w:val="24"/>
              </w:rPr>
            </w:pPr>
            <w:r w:rsidRPr="009F3E9E">
              <w:rPr>
                <w:color w:val="FFFFFF"/>
                <w:sz w:val="24"/>
                <w:szCs w:val="24"/>
                <w:lang w:val="en-US"/>
              </w:rPr>
              <w:t>Streamflow</w:t>
            </w:r>
          </w:p>
        </w:tc>
        <w:tc>
          <w:tcPr>
            <w:tcW w:w="1029" w:type="pct"/>
            <w:shd w:val="clear" w:color="auto" w:fill="4472C4"/>
            <w:vAlign w:val="center"/>
          </w:tcPr>
          <w:p w:rsidR="001A0DA9" w:rsidRPr="009F3E9E" w:rsidRDefault="001A0DA9" w:rsidP="00AC58C6">
            <w:pPr>
              <w:spacing w:after="0" w:line="240" w:lineRule="auto"/>
              <w:jc w:val="center"/>
              <w:rPr>
                <w:color w:val="FFFFFF"/>
                <w:sz w:val="24"/>
                <w:szCs w:val="24"/>
              </w:rPr>
            </w:pPr>
            <w:r w:rsidRPr="009F3E9E">
              <w:rPr>
                <w:color w:val="FFFFFF"/>
                <w:sz w:val="24"/>
                <w:szCs w:val="24"/>
                <w:lang w:val="en-US"/>
              </w:rPr>
              <w:t>Chemistry</w:t>
            </w:r>
          </w:p>
        </w:tc>
      </w:tr>
      <w:tr w:rsidR="001A0DA9" w:rsidRPr="009F3E9E" w:rsidTr="00AC58C6">
        <w:tc>
          <w:tcPr>
            <w:tcW w:w="958" w:type="pct"/>
            <w:shd w:val="clear" w:color="auto" w:fill="auto"/>
            <w:vAlign w:val="center"/>
          </w:tcPr>
          <w:p w:rsidR="001A0DA9" w:rsidRPr="009F3E9E" w:rsidRDefault="001A0DA9" w:rsidP="00AC58C6">
            <w:pPr>
              <w:spacing w:after="0" w:line="240" w:lineRule="auto"/>
              <w:jc w:val="center"/>
              <w:rPr>
                <w:b/>
                <w:bCs/>
                <w:sz w:val="24"/>
                <w:szCs w:val="24"/>
              </w:rPr>
            </w:pPr>
            <w:r w:rsidRPr="009F3E9E">
              <w:rPr>
                <w:b/>
                <w:bCs/>
                <w:sz w:val="24"/>
                <w:szCs w:val="24"/>
                <w:lang w:val="en-US"/>
              </w:rPr>
              <w:t>Very</w:t>
            </w:r>
            <w:r w:rsidRPr="009F3E9E">
              <w:rPr>
                <w:b/>
                <w:bCs/>
                <w:sz w:val="24"/>
                <w:szCs w:val="24"/>
              </w:rPr>
              <w:t xml:space="preserve"> </w:t>
            </w:r>
            <w:r w:rsidRPr="009F3E9E">
              <w:rPr>
                <w:b/>
                <w:bCs/>
                <w:sz w:val="24"/>
                <w:szCs w:val="24"/>
                <w:lang w:val="en-US"/>
              </w:rPr>
              <w:t>good</w:t>
            </w:r>
          </w:p>
        </w:tc>
        <w:tc>
          <w:tcPr>
            <w:tcW w:w="989" w:type="pct"/>
            <w:shd w:val="clear" w:color="auto" w:fill="auto"/>
            <w:vAlign w:val="center"/>
          </w:tcPr>
          <w:p w:rsidR="001A0DA9" w:rsidRPr="009F3E9E" w:rsidRDefault="001A0DA9" w:rsidP="00AC58C6">
            <w:pPr>
              <w:spacing w:after="0" w:line="240" w:lineRule="auto"/>
              <w:jc w:val="center"/>
              <w:rPr>
                <w:sz w:val="24"/>
                <w:szCs w:val="24"/>
              </w:rPr>
            </w:pPr>
            <w:r w:rsidRPr="009F3E9E">
              <w:rPr>
                <w:sz w:val="24"/>
                <w:szCs w:val="24"/>
              </w:rPr>
              <w:t>0.00≤</w:t>
            </w:r>
            <w:r w:rsidRPr="009F3E9E">
              <w:rPr>
                <w:sz w:val="24"/>
                <w:szCs w:val="24"/>
                <w:lang w:val="en-US"/>
              </w:rPr>
              <w:t>RSR</w:t>
            </w:r>
            <w:r w:rsidRPr="009F3E9E">
              <w:rPr>
                <w:sz w:val="24"/>
                <w:szCs w:val="24"/>
              </w:rPr>
              <w:t>≤0.50</w:t>
            </w:r>
          </w:p>
        </w:tc>
        <w:tc>
          <w:tcPr>
            <w:tcW w:w="996" w:type="pct"/>
            <w:shd w:val="clear" w:color="auto" w:fill="auto"/>
            <w:vAlign w:val="center"/>
          </w:tcPr>
          <w:p w:rsidR="001A0DA9" w:rsidRPr="009F3E9E" w:rsidRDefault="001A0DA9" w:rsidP="00AC58C6">
            <w:pPr>
              <w:spacing w:after="0" w:line="240" w:lineRule="auto"/>
              <w:jc w:val="center"/>
              <w:rPr>
                <w:sz w:val="24"/>
                <w:szCs w:val="24"/>
              </w:rPr>
            </w:pPr>
            <w:r w:rsidRPr="009F3E9E">
              <w:rPr>
                <w:sz w:val="24"/>
                <w:szCs w:val="24"/>
              </w:rPr>
              <w:t>0.75&lt;</w:t>
            </w:r>
            <w:r w:rsidRPr="009F3E9E">
              <w:rPr>
                <w:sz w:val="24"/>
                <w:szCs w:val="24"/>
                <w:lang w:val="en-US"/>
              </w:rPr>
              <w:t>NSE</w:t>
            </w:r>
            <w:r w:rsidRPr="009F3E9E">
              <w:rPr>
                <w:sz w:val="24"/>
                <w:szCs w:val="24"/>
              </w:rPr>
              <w:t>≤1.00</w:t>
            </w:r>
          </w:p>
        </w:tc>
        <w:tc>
          <w:tcPr>
            <w:tcW w:w="1028" w:type="pct"/>
            <w:shd w:val="clear" w:color="auto" w:fill="auto"/>
            <w:vAlign w:val="center"/>
          </w:tcPr>
          <w:p w:rsidR="001A0DA9" w:rsidRPr="009F3E9E" w:rsidRDefault="001A0DA9" w:rsidP="00AC58C6">
            <w:pPr>
              <w:spacing w:after="0" w:line="240" w:lineRule="auto"/>
              <w:jc w:val="center"/>
              <w:rPr>
                <w:sz w:val="24"/>
                <w:szCs w:val="24"/>
              </w:rPr>
            </w:pPr>
            <w:r w:rsidRPr="009F3E9E">
              <w:rPr>
                <w:sz w:val="24"/>
                <w:szCs w:val="24"/>
                <w:lang w:val="en-US"/>
              </w:rPr>
              <w:t>PBIAS</w:t>
            </w:r>
            <w:r w:rsidRPr="009F3E9E">
              <w:rPr>
                <w:sz w:val="24"/>
                <w:szCs w:val="24"/>
              </w:rPr>
              <w:t>&lt;±10</w:t>
            </w:r>
          </w:p>
        </w:tc>
        <w:tc>
          <w:tcPr>
            <w:tcW w:w="1029" w:type="pct"/>
            <w:shd w:val="clear" w:color="auto" w:fill="auto"/>
            <w:vAlign w:val="center"/>
          </w:tcPr>
          <w:p w:rsidR="001A0DA9" w:rsidRPr="009F3E9E" w:rsidRDefault="001A0DA9" w:rsidP="00AC58C6">
            <w:pPr>
              <w:spacing w:after="0" w:line="240" w:lineRule="auto"/>
              <w:jc w:val="center"/>
              <w:rPr>
                <w:sz w:val="24"/>
                <w:szCs w:val="24"/>
              </w:rPr>
            </w:pPr>
            <w:r w:rsidRPr="009F3E9E">
              <w:rPr>
                <w:sz w:val="24"/>
                <w:szCs w:val="24"/>
                <w:lang w:val="en-US"/>
              </w:rPr>
              <w:t>PBIAS</w:t>
            </w:r>
            <w:r w:rsidRPr="009F3E9E">
              <w:rPr>
                <w:sz w:val="24"/>
                <w:szCs w:val="24"/>
              </w:rPr>
              <w:t>&lt;±25</w:t>
            </w:r>
          </w:p>
        </w:tc>
      </w:tr>
      <w:tr w:rsidR="001A0DA9" w:rsidRPr="009F3E9E" w:rsidTr="00AC58C6">
        <w:tc>
          <w:tcPr>
            <w:tcW w:w="958" w:type="pct"/>
            <w:shd w:val="clear" w:color="auto" w:fill="D9E2F3"/>
            <w:vAlign w:val="center"/>
          </w:tcPr>
          <w:p w:rsidR="001A0DA9" w:rsidRPr="009F3E9E" w:rsidRDefault="001A0DA9" w:rsidP="00AC58C6">
            <w:pPr>
              <w:spacing w:after="0" w:line="240" w:lineRule="auto"/>
              <w:jc w:val="center"/>
              <w:rPr>
                <w:b/>
                <w:bCs/>
                <w:sz w:val="24"/>
                <w:szCs w:val="24"/>
              </w:rPr>
            </w:pPr>
            <w:r w:rsidRPr="009F3E9E">
              <w:rPr>
                <w:b/>
                <w:bCs/>
                <w:sz w:val="24"/>
                <w:szCs w:val="24"/>
                <w:lang w:val="en-US"/>
              </w:rPr>
              <w:t>Good</w:t>
            </w:r>
          </w:p>
        </w:tc>
        <w:tc>
          <w:tcPr>
            <w:tcW w:w="989" w:type="pct"/>
            <w:shd w:val="clear" w:color="auto" w:fill="D9E2F3"/>
            <w:vAlign w:val="center"/>
          </w:tcPr>
          <w:p w:rsidR="001A0DA9" w:rsidRPr="009F3E9E" w:rsidRDefault="001A0DA9" w:rsidP="00AC58C6">
            <w:pPr>
              <w:spacing w:after="0" w:line="240" w:lineRule="auto"/>
              <w:jc w:val="center"/>
              <w:rPr>
                <w:sz w:val="24"/>
                <w:szCs w:val="24"/>
              </w:rPr>
            </w:pPr>
            <w:r w:rsidRPr="009F3E9E">
              <w:rPr>
                <w:sz w:val="24"/>
                <w:szCs w:val="24"/>
              </w:rPr>
              <w:t>0.50&lt;</w:t>
            </w:r>
            <w:r w:rsidRPr="009F3E9E">
              <w:rPr>
                <w:sz w:val="24"/>
                <w:szCs w:val="24"/>
                <w:lang w:val="en-US"/>
              </w:rPr>
              <w:t>RSR</w:t>
            </w:r>
            <w:r w:rsidRPr="009F3E9E">
              <w:rPr>
                <w:sz w:val="24"/>
                <w:szCs w:val="24"/>
              </w:rPr>
              <w:t>≤0.60</w:t>
            </w:r>
          </w:p>
        </w:tc>
        <w:tc>
          <w:tcPr>
            <w:tcW w:w="996" w:type="pct"/>
            <w:shd w:val="clear" w:color="auto" w:fill="D9E2F3"/>
            <w:vAlign w:val="center"/>
          </w:tcPr>
          <w:p w:rsidR="001A0DA9" w:rsidRPr="009F3E9E" w:rsidRDefault="001A0DA9" w:rsidP="00AC58C6">
            <w:pPr>
              <w:spacing w:after="0" w:line="240" w:lineRule="auto"/>
              <w:jc w:val="center"/>
              <w:rPr>
                <w:sz w:val="24"/>
                <w:szCs w:val="24"/>
              </w:rPr>
            </w:pPr>
            <w:r w:rsidRPr="009F3E9E">
              <w:rPr>
                <w:sz w:val="24"/>
                <w:szCs w:val="24"/>
              </w:rPr>
              <w:t>0.60&lt;</w:t>
            </w:r>
            <w:r w:rsidRPr="009F3E9E">
              <w:rPr>
                <w:sz w:val="24"/>
                <w:szCs w:val="24"/>
                <w:lang w:val="en-US"/>
              </w:rPr>
              <w:t>NSE</w:t>
            </w:r>
            <w:r w:rsidRPr="009F3E9E">
              <w:rPr>
                <w:sz w:val="24"/>
                <w:szCs w:val="24"/>
              </w:rPr>
              <w:t>≤0.75</w:t>
            </w:r>
          </w:p>
        </w:tc>
        <w:tc>
          <w:tcPr>
            <w:tcW w:w="1028" w:type="pct"/>
            <w:shd w:val="clear" w:color="auto" w:fill="D9E2F3"/>
            <w:vAlign w:val="center"/>
          </w:tcPr>
          <w:p w:rsidR="001A0DA9" w:rsidRPr="009F3E9E" w:rsidRDefault="001A0DA9" w:rsidP="00AC58C6">
            <w:pPr>
              <w:spacing w:after="0" w:line="240" w:lineRule="auto"/>
              <w:jc w:val="center"/>
              <w:rPr>
                <w:sz w:val="24"/>
                <w:szCs w:val="24"/>
              </w:rPr>
            </w:pPr>
            <w:r w:rsidRPr="009F3E9E">
              <w:rPr>
                <w:sz w:val="24"/>
                <w:szCs w:val="24"/>
              </w:rPr>
              <w:t>±10≤</w:t>
            </w:r>
            <w:r w:rsidRPr="009F3E9E">
              <w:rPr>
                <w:sz w:val="24"/>
                <w:szCs w:val="24"/>
                <w:lang w:val="en-US"/>
              </w:rPr>
              <w:t>PBIAS</w:t>
            </w:r>
            <w:r w:rsidRPr="009F3E9E">
              <w:rPr>
                <w:sz w:val="24"/>
                <w:szCs w:val="24"/>
              </w:rPr>
              <w:t>&lt;±15</w:t>
            </w:r>
          </w:p>
        </w:tc>
        <w:tc>
          <w:tcPr>
            <w:tcW w:w="1029" w:type="pct"/>
            <w:shd w:val="clear" w:color="auto" w:fill="D9E2F3"/>
            <w:vAlign w:val="center"/>
          </w:tcPr>
          <w:p w:rsidR="001A0DA9" w:rsidRPr="009F3E9E" w:rsidRDefault="001A0DA9" w:rsidP="00AC58C6">
            <w:pPr>
              <w:spacing w:after="0" w:line="240" w:lineRule="auto"/>
              <w:jc w:val="center"/>
              <w:rPr>
                <w:sz w:val="24"/>
                <w:szCs w:val="24"/>
              </w:rPr>
            </w:pPr>
            <w:r w:rsidRPr="009F3E9E">
              <w:rPr>
                <w:sz w:val="24"/>
                <w:szCs w:val="24"/>
              </w:rPr>
              <w:t>±25≤</w:t>
            </w:r>
            <w:r w:rsidRPr="009F3E9E">
              <w:rPr>
                <w:sz w:val="24"/>
                <w:szCs w:val="24"/>
                <w:lang w:val="en-US"/>
              </w:rPr>
              <w:t>PBIAS</w:t>
            </w:r>
            <w:r w:rsidRPr="009F3E9E">
              <w:rPr>
                <w:sz w:val="24"/>
                <w:szCs w:val="24"/>
              </w:rPr>
              <w:t>&lt;±40</w:t>
            </w:r>
          </w:p>
        </w:tc>
      </w:tr>
      <w:tr w:rsidR="001A0DA9" w:rsidRPr="009F3E9E" w:rsidTr="00AC58C6">
        <w:tc>
          <w:tcPr>
            <w:tcW w:w="958" w:type="pct"/>
            <w:shd w:val="clear" w:color="auto" w:fill="auto"/>
            <w:vAlign w:val="center"/>
          </w:tcPr>
          <w:p w:rsidR="001A0DA9" w:rsidRPr="009F3E9E" w:rsidRDefault="001A0DA9" w:rsidP="00AC58C6">
            <w:pPr>
              <w:spacing w:after="0" w:line="240" w:lineRule="auto"/>
              <w:jc w:val="center"/>
              <w:rPr>
                <w:b/>
                <w:bCs/>
                <w:sz w:val="24"/>
                <w:szCs w:val="24"/>
              </w:rPr>
            </w:pPr>
            <w:r w:rsidRPr="009F3E9E">
              <w:rPr>
                <w:b/>
                <w:bCs/>
                <w:sz w:val="24"/>
                <w:szCs w:val="24"/>
                <w:lang w:val="en-US"/>
              </w:rPr>
              <w:t>Satisfactory</w:t>
            </w:r>
          </w:p>
        </w:tc>
        <w:tc>
          <w:tcPr>
            <w:tcW w:w="989" w:type="pct"/>
            <w:shd w:val="clear" w:color="auto" w:fill="auto"/>
            <w:vAlign w:val="center"/>
          </w:tcPr>
          <w:p w:rsidR="001A0DA9" w:rsidRPr="009F3E9E" w:rsidRDefault="001A0DA9" w:rsidP="00AC58C6">
            <w:pPr>
              <w:spacing w:after="0" w:line="240" w:lineRule="auto"/>
              <w:jc w:val="center"/>
              <w:rPr>
                <w:sz w:val="24"/>
                <w:szCs w:val="24"/>
              </w:rPr>
            </w:pPr>
            <w:r w:rsidRPr="009F3E9E">
              <w:rPr>
                <w:sz w:val="24"/>
                <w:szCs w:val="24"/>
              </w:rPr>
              <w:t>0.60&lt;</w:t>
            </w:r>
            <w:r w:rsidRPr="009F3E9E">
              <w:rPr>
                <w:sz w:val="24"/>
                <w:szCs w:val="24"/>
                <w:lang w:val="en-US"/>
              </w:rPr>
              <w:t>RSR</w:t>
            </w:r>
            <w:r w:rsidRPr="009F3E9E">
              <w:rPr>
                <w:sz w:val="24"/>
                <w:szCs w:val="24"/>
              </w:rPr>
              <w:t>≤0.70</w:t>
            </w:r>
          </w:p>
        </w:tc>
        <w:tc>
          <w:tcPr>
            <w:tcW w:w="996" w:type="pct"/>
            <w:shd w:val="clear" w:color="auto" w:fill="auto"/>
            <w:vAlign w:val="center"/>
          </w:tcPr>
          <w:p w:rsidR="001A0DA9" w:rsidRPr="009F3E9E" w:rsidRDefault="001A0DA9" w:rsidP="00AC58C6">
            <w:pPr>
              <w:spacing w:after="0" w:line="240" w:lineRule="auto"/>
              <w:jc w:val="center"/>
              <w:rPr>
                <w:sz w:val="24"/>
                <w:szCs w:val="24"/>
              </w:rPr>
            </w:pPr>
            <w:r w:rsidRPr="009F3E9E">
              <w:rPr>
                <w:sz w:val="24"/>
                <w:szCs w:val="24"/>
              </w:rPr>
              <w:t>0.50&lt;</w:t>
            </w:r>
            <w:r w:rsidRPr="009F3E9E">
              <w:rPr>
                <w:sz w:val="24"/>
                <w:szCs w:val="24"/>
                <w:lang w:val="en-US"/>
              </w:rPr>
              <w:t>NSE</w:t>
            </w:r>
            <w:r w:rsidRPr="009F3E9E">
              <w:rPr>
                <w:sz w:val="24"/>
                <w:szCs w:val="24"/>
              </w:rPr>
              <w:t>≤0.65</w:t>
            </w:r>
          </w:p>
        </w:tc>
        <w:tc>
          <w:tcPr>
            <w:tcW w:w="1028" w:type="pct"/>
            <w:shd w:val="clear" w:color="auto" w:fill="auto"/>
            <w:vAlign w:val="center"/>
          </w:tcPr>
          <w:p w:rsidR="001A0DA9" w:rsidRPr="009F3E9E" w:rsidRDefault="001A0DA9" w:rsidP="00AC58C6">
            <w:pPr>
              <w:spacing w:after="0" w:line="240" w:lineRule="auto"/>
              <w:jc w:val="center"/>
              <w:rPr>
                <w:sz w:val="24"/>
                <w:szCs w:val="24"/>
              </w:rPr>
            </w:pPr>
            <w:r w:rsidRPr="009F3E9E">
              <w:rPr>
                <w:sz w:val="24"/>
                <w:szCs w:val="24"/>
              </w:rPr>
              <w:t>±15≤</w:t>
            </w:r>
            <w:r w:rsidRPr="009F3E9E">
              <w:rPr>
                <w:sz w:val="24"/>
                <w:szCs w:val="24"/>
                <w:lang w:val="en-US"/>
              </w:rPr>
              <w:t>PBIAS</w:t>
            </w:r>
            <w:r w:rsidRPr="009F3E9E">
              <w:rPr>
                <w:sz w:val="24"/>
                <w:szCs w:val="24"/>
              </w:rPr>
              <w:t>&lt;±25</w:t>
            </w:r>
          </w:p>
        </w:tc>
        <w:tc>
          <w:tcPr>
            <w:tcW w:w="1029" w:type="pct"/>
            <w:shd w:val="clear" w:color="auto" w:fill="auto"/>
            <w:vAlign w:val="center"/>
          </w:tcPr>
          <w:p w:rsidR="001A0DA9" w:rsidRPr="009F3E9E" w:rsidRDefault="001A0DA9" w:rsidP="00AC58C6">
            <w:pPr>
              <w:spacing w:after="0" w:line="240" w:lineRule="auto"/>
              <w:jc w:val="center"/>
              <w:rPr>
                <w:sz w:val="24"/>
                <w:szCs w:val="24"/>
              </w:rPr>
            </w:pPr>
            <w:r w:rsidRPr="009F3E9E">
              <w:rPr>
                <w:sz w:val="24"/>
                <w:szCs w:val="24"/>
              </w:rPr>
              <w:t>±40≤</w:t>
            </w:r>
            <w:r w:rsidRPr="009F3E9E">
              <w:rPr>
                <w:sz w:val="24"/>
                <w:szCs w:val="24"/>
                <w:lang w:val="en-US"/>
              </w:rPr>
              <w:t>PBIAS</w:t>
            </w:r>
            <w:r w:rsidRPr="009F3E9E">
              <w:rPr>
                <w:sz w:val="24"/>
                <w:szCs w:val="24"/>
              </w:rPr>
              <w:t>&lt;±70</w:t>
            </w:r>
          </w:p>
        </w:tc>
      </w:tr>
      <w:tr w:rsidR="001A0DA9" w:rsidRPr="009F3E9E" w:rsidTr="00AC58C6">
        <w:tc>
          <w:tcPr>
            <w:tcW w:w="958" w:type="pct"/>
            <w:shd w:val="clear" w:color="auto" w:fill="D9E2F3"/>
            <w:vAlign w:val="center"/>
          </w:tcPr>
          <w:p w:rsidR="001A0DA9" w:rsidRPr="009F3E9E" w:rsidRDefault="001A0DA9" w:rsidP="00AC58C6">
            <w:pPr>
              <w:spacing w:after="0" w:line="240" w:lineRule="auto"/>
              <w:jc w:val="center"/>
              <w:rPr>
                <w:b/>
                <w:bCs/>
                <w:sz w:val="24"/>
                <w:szCs w:val="24"/>
              </w:rPr>
            </w:pPr>
            <w:r w:rsidRPr="009F3E9E">
              <w:rPr>
                <w:b/>
                <w:bCs/>
                <w:sz w:val="24"/>
                <w:szCs w:val="24"/>
                <w:lang w:val="en-US"/>
              </w:rPr>
              <w:t>Unsatisfactory</w:t>
            </w:r>
          </w:p>
        </w:tc>
        <w:tc>
          <w:tcPr>
            <w:tcW w:w="989" w:type="pct"/>
            <w:shd w:val="clear" w:color="auto" w:fill="D9E2F3"/>
            <w:vAlign w:val="center"/>
          </w:tcPr>
          <w:p w:rsidR="001A0DA9" w:rsidRPr="009F3E9E" w:rsidRDefault="001A0DA9" w:rsidP="00AC58C6">
            <w:pPr>
              <w:spacing w:after="0" w:line="240" w:lineRule="auto"/>
              <w:jc w:val="center"/>
              <w:rPr>
                <w:sz w:val="24"/>
                <w:szCs w:val="24"/>
              </w:rPr>
            </w:pPr>
            <w:r w:rsidRPr="009F3E9E">
              <w:rPr>
                <w:sz w:val="24"/>
                <w:szCs w:val="24"/>
              </w:rPr>
              <w:t>0.70&lt;</w:t>
            </w:r>
            <w:r w:rsidRPr="009F3E9E">
              <w:rPr>
                <w:sz w:val="24"/>
                <w:szCs w:val="24"/>
                <w:lang w:val="en-US"/>
              </w:rPr>
              <w:t>RSR</w:t>
            </w:r>
          </w:p>
        </w:tc>
        <w:tc>
          <w:tcPr>
            <w:tcW w:w="996" w:type="pct"/>
            <w:shd w:val="clear" w:color="auto" w:fill="D9E2F3"/>
            <w:vAlign w:val="center"/>
          </w:tcPr>
          <w:p w:rsidR="001A0DA9" w:rsidRPr="009F3E9E" w:rsidRDefault="001A0DA9" w:rsidP="00AC58C6">
            <w:pPr>
              <w:spacing w:after="0" w:line="240" w:lineRule="auto"/>
              <w:jc w:val="center"/>
              <w:rPr>
                <w:sz w:val="24"/>
                <w:szCs w:val="24"/>
              </w:rPr>
            </w:pPr>
            <w:r w:rsidRPr="009F3E9E">
              <w:rPr>
                <w:sz w:val="24"/>
                <w:szCs w:val="24"/>
                <w:lang w:val="en-US"/>
              </w:rPr>
              <w:t>NSE</w:t>
            </w:r>
            <w:r w:rsidRPr="009F3E9E">
              <w:rPr>
                <w:sz w:val="24"/>
                <w:szCs w:val="24"/>
              </w:rPr>
              <w:t>≤0.50</w:t>
            </w:r>
          </w:p>
        </w:tc>
        <w:tc>
          <w:tcPr>
            <w:tcW w:w="1028" w:type="pct"/>
            <w:shd w:val="clear" w:color="auto" w:fill="D9E2F3"/>
            <w:vAlign w:val="center"/>
          </w:tcPr>
          <w:p w:rsidR="001A0DA9" w:rsidRPr="009F3E9E" w:rsidRDefault="001A0DA9" w:rsidP="00AC58C6">
            <w:pPr>
              <w:spacing w:after="0" w:line="240" w:lineRule="auto"/>
              <w:jc w:val="center"/>
              <w:rPr>
                <w:sz w:val="24"/>
                <w:szCs w:val="24"/>
              </w:rPr>
            </w:pPr>
            <w:r w:rsidRPr="009F3E9E">
              <w:rPr>
                <w:sz w:val="24"/>
                <w:szCs w:val="24"/>
              </w:rPr>
              <w:t>±25≤</w:t>
            </w:r>
            <w:r w:rsidRPr="009F3E9E">
              <w:rPr>
                <w:sz w:val="24"/>
                <w:szCs w:val="24"/>
                <w:lang w:val="en-US"/>
              </w:rPr>
              <w:t>PBIAS</w:t>
            </w:r>
          </w:p>
        </w:tc>
        <w:tc>
          <w:tcPr>
            <w:tcW w:w="1029" w:type="pct"/>
            <w:shd w:val="clear" w:color="auto" w:fill="D9E2F3"/>
            <w:vAlign w:val="center"/>
          </w:tcPr>
          <w:p w:rsidR="001A0DA9" w:rsidRPr="009F3E9E" w:rsidRDefault="001A0DA9" w:rsidP="00AC58C6">
            <w:pPr>
              <w:spacing w:after="0" w:line="240" w:lineRule="auto"/>
              <w:jc w:val="center"/>
              <w:rPr>
                <w:sz w:val="24"/>
                <w:szCs w:val="24"/>
              </w:rPr>
            </w:pPr>
            <w:r w:rsidRPr="009F3E9E">
              <w:rPr>
                <w:sz w:val="24"/>
                <w:szCs w:val="24"/>
              </w:rPr>
              <w:t>±70≤</w:t>
            </w:r>
            <w:r w:rsidRPr="009F3E9E">
              <w:rPr>
                <w:sz w:val="24"/>
                <w:szCs w:val="24"/>
                <w:lang w:val="en-US"/>
              </w:rPr>
              <w:t>PBIAS</w:t>
            </w:r>
          </w:p>
        </w:tc>
      </w:tr>
    </w:tbl>
    <w:p w:rsidR="001A0DA9" w:rsidRPr="009F3E9E" w:rsidRDefault="001A0DA9" w:rsidP="001A0DA9">
      <w:pPr>
        <w:pStyle w:val="NormalWeb"/>
        <w:ind w:left="480" w:hanging="480"/>
        <w:rPr>
          <w:rFonts w:ascii="Calibri" w:hAnsi="Calibri"/>
          <w:noProof/>
        </w:rPr>
      </w:pPr>
      <w:r w:rsidRPr="009F3E9E">
        <w:rPr>
          <w:rFonts w:ascii="Calibri" w:hAnsi="Calibri"/>
          <w:noProof/>
          <w:lang w:val="en-US"/>
        </w:rPr>
        <w:t>Moriasi</w:t>
      </w:r>
      <w:r w:rsidRPr="009F3E9E">
        <w:rPr>
          <w:rFonts w:ascii="Calibri" w:hAnsi="Calibri"/>
          <w:noProof/>
        </w:rPr>
        <w:t xml:space="preserve">, </w:t>
      </w:r>
      <w:r w:rsidRPr="009F3E9E">
        <w:rPr>
          <w:rFonts w:ascii="Calibri" w:hAnsi="Calibri"/>
          <w:noProof/>
          <w:lang w:val="en-US"/>
        </w:rPr>
        <w:t>D</w:t>
      </w:r>
      <w:r w:rsidRPr="009F3E9E">
        <w:rPr>
          <w:rFonts w:ascii="Calibri" w:hAnsi="Calibri"/>
          <w:noProof/>
        </w:rPr>
        <w:t xml:space="preserve">. &amp; </w:t>
      </w:r>
      <w:r w:rsidRPr="009F3E9E">
        <w:rPr>
          <w:rFonts w:ascii="Calibri" w:hAnsi="Calibri"/>
          <w:noProof/>
          <w:lang w:val="en-US"/>
        </w:rPr>
        <w:t>Arnold</w:t>
      </w:r>
      <w:r w:rsidRPr="009F3E9E">
        <w:rPr>
          <w:rFonts w:ascii="Calibri" w:hAnsi="Calibri"/>
          <w:noProof/>
        </w:rPr>
        <w:t xml:space="preserve">, </w:t>
      </w:r>
      <w:r w:rsidRPr="009F3E9E">
        <w:rPr>
          <w:rFonts w:ascii="Calibri" w:hAnsi="Calibri"/>
          <w:noProof/>
          <w:lang w:val="en-US"/>
        </w:rPr>
        <w:t>J</w:t>
      </w:r>
      <w:r w:rsidRPr="009F3E9E">
        <w:rPr>
          <w:rFonts w:ascii="Calibri" w:hAnsi="Calibri"/>
          <w:noProof/>
        </w:rPr>
        <w:t xml:space="preserve">., 2007. </w:t>
      </w:r>
      <w:r w:rsidRPr="009F3E9E">
        <w:rPr>
          <w:rFonts w:ascii="Calibri" w:hAnsi="Calibri"/>
          <w:noProof/>
          <w:lang w:val="en-US"/>
        </w:rPr>
        <w:t>Model</w:t>
      </w:r>
      <w:r w:rsidRPr="009F3E9E">
        <w:rPr>
          <w:rFonts w:ascii="Calibri" w:hAnsi="Calibri"/>
          <w:noProof/>
        </w:rPr>
        <w:t xml:space="preserve"> </w:t>
      </w:r>
      <w:r w:rsidRPr="009F3E9E">
        <w:rPr>
          <w:rFonts w:ascii="Calibri" w:hAnsi="Calibri"/>
          <w:noProof/>
          <w:lang w:val="en-US"/>
        </w:rPr>
        <w:t>evaluation</w:t>
      </w:r>
      <w:r w:rsidRPr="009F3E9E">
        <w:rPr>
          <w:rFonts w:ascii="Calibri" w:hAnsi="Calibri"/>
          <w:noProof/>
        </w:rPr>
        <w:t xml:space="preserve"> </w:t>
      </w:r>
      <w:r w:rsidRPr="009F3E9E">
        <w:rPr>
          <w:rFonts w:ascii="Calibri" w:hAnsi="Calibri"/>
          <w:noProof/>
          <w:lang w:val="en-US"/>
        </w:rPr>
        <w:t>guidelines</w:t>
      </w:r>
      <w:r w:rsidRPr="009F3E9E">
        <w:rPr>
          <w:rFonts w:ascii="Calibri" w:hAnsi="Calibri"/>
          <w:noProof/>
        </w:rPr>
        <w:t xml:space="preserve"> </w:t>
      </w:r>
      <w:r w:rsidRPr="009F3E9E">
        <w:rPr>
          <w:rFonts w:ascii="Calibri" w:hAnsi="Calibri"/>
          <w:noProof/>
          <w:lang w:val="en-US"/>
        </w:rPr>
        <w:t>for</w:t>
      </w:r>
      <w:r w:rsidRPr="009F3E9E">
        <w:rPr>
          <w:rFonts w:ascii="Calibri" w:hAnsi="Calibri"/>
          <w:noProof/>
        </w:rPr>
        <w:t xml:space="preserve"> </w:t>
      </w:r>
      <w:r w:rsidRPr="009F3E9E">
        <w:rPr>
          <w:rFonts w:ascii="Calibri" w:hAnsi="Calibri"/>
          <w:noProof/>
          <w:lang w:val="en-US"/>
        </w:rPr>
        <w:t>systematic</w:t>
      </w:r>
      <w:r w:rsidRPr="009F3E9E">
        <w:rPr>
          <w:rFonts w:ascii="Calibri" w:hAnsi="Calibri"/>
          <w:noProof/>
        </w:rPr>
        <w:t xml:space="preserve"> </w:t>
      </w:r>
      <w:r w:rsidRPr="009F3E9E">
        <w:rPr>
          <w:rFonts w:ascii="Calibri" w:hAnsi="Calibri"/>
          <w:noProof/>
          <w:lang w:val="en-US"/>
        </w:rPr>
        <w:t>quantification</w:t>
      </w:r>
      <w:r w:rsidRPr="009F3E9E">
        <w:rPr>
          <w:rFonts w:ascii="Calibri" w:hAnsi="Calibri"/>
          <w:noProof/>
        </w:rPr>
        <w:t xml:space="preserve"> </w:t>
      </w:r>
      <w:r w:rsidRPr="009F3E9E">
        <w:rPr>
          <w:rFonts w:ascii="Calibri" w:hAnsi="Calibri"/>
          <w:noProof/>
          <w:lang w:val="en-US"/>
        </w:rPr>
        <w:t>of</w:t>
      </w:r>
      <w:r w:rsidRPr="009F3E9E">
        <w:rPr>
          <w:rFonts w:ascii="Calibri" w:hAnsi="Calibri"/>
          <w:noProof/>
        </w:rPr>
        <w:t xml:space="preserve"> </w:t>
      </w:r>
      <w:r w:rsidRPr="009F3E9E">
        <w:rPr>
          <w:rFonts w:ascii="Calibri" w:hAnsi="Calibri"/>
          <w:noProof/>
          <w:lang w:val="en-US"/>
        </w:rPr>
        <w:t>accuracy</w:t>
      </w:r>
      <w:r w:rsidRPr="009F3E9E">
        <w:rPr>
          <w:rFonts w:ascii="Calibri" w:hAnsi="Calibri"/>
          <w:noProof/>
        </w:rPr>
        <w:t xml:space="preserve"> </w:t>
      </w:r>
      <w:r w:rsidRPr="009F3E9E">
        <w:rPr>
          <w:rFonts w:ascii="Calibri" w:hAnsi="Calibri"/>
          <w:noProof/>
          <w:lang w:val="en-US"/>
        </w:rPr>
        <w:t>in</w:t>
      </w:r>
      <w:r w:rsidRPr="009F3E9E">
        <w:rPr>
          <w:rFonts w:ascii="Calibri" w:hAnsi="Calibri"/>
          <w:noProof/>
        </w:rPr>
        <w:t xml:space="preserve"> </w:t>
      </w:r>
      <w:r w:rsidRPr="009F3E9E">
        <w:rPr>
          <w:rFonts w:ascii="Calibri" w:hAnsi="Calibri"/>
          <w:noProof/>
          <w:lang w:val="en-US"/>
        </w:rPr>
        <w:t>watershed</w:t>
      </w:r>
      <w:r w:rsidRPr="009F3E9E">
        <w:rPr>
          <w:rFonts w:ascii="Calibri" w:hAnsi="Calibri"/>
          <w:noProof/>
        </w:rPr>
        <w:t xml:space="preserve"> </w:t>
      </w:r>
      <w:r w:rsidRPr="009F3E9E">
        <w:rPr>
          <w:rFonts w:ascii="Calibri" w:hAnsi="Calibri"/>
          <w:noProof/>
          <w:lang w:val="en-US"/>
        </w:rPr>
        <w:t>simulations</w:t>
      </w:r>
      <w:r w:rsidRPr="009F3E9E">
        <w:rPr>
          <w:rFonts w:ascii="Calibri" w:hAnsi="Calibri"/>
          <w:noProof/>
        </w:rPr>
        <w:t xml:space="preserve">. </w:t>
      </w:r>
      <w:r w:rsidRPr="009F3E9E">
        <w:rPr>
          <w:rFonts w:ascii="Calibri" w:hAnsi="Calibri"/>
          <w:i/>
          <w:iCs/>
          <w:noProof/>
          <w:lang w:val="en-US"/>
        </w:rPr>
        <w:t>Transactions</w:t>
      </w:r>
      <w:r w:rsidRPr="009F3E9E">
        <w:rPr>
          <w:rFonts w:ascii="Calibri" w:hAnsi="Calibri"/>
          <w:i/>
          <w:iCs/>
          <w:noProof/>
        </w:rPr>
        <w:t xml:space="preserve"> </w:t>
      </w:r>
      <w:r w:rsidRPr="009F3E9E">
        <w:rPr>
          <w:rFonts w:ascii="Calibri" w:hAnsi="Calibri"/>
          <w:i/>
          <w:iCs/>
          <w:noProof/>
          <w:lang w:val="en-US"/>
        </w:rPr>
        <w:t>of</w:t>
      </w:r>
      <w:r w:rsidRPr="009F3E9E">
        <w:rPr>
          <w:rFonts w:ascii="Calibri" w:hAnsi="Calibri"/>
          <w:i/>
          <w:iCs/>
          <w:noProof/>
        </w:rPr>
        <w:t xml:space="preserve"> </w:t>
      </w:r>
      <w:r w:rsidRPr="009F3E9E">
        <w:rPr>
          <w:rFonts w:ascii="Calibri" w:hAnsi="Calibri"/>
          <w:i/>
          <w:iCs/>
          <w:noProof/>
          <w:lang w:val="en-US"/>
        </w:rPr>
        <w:t>the</w:t>
      </w:r>
      <w:r w:rsidRPr="009F3E9E">
        <w:rPr>
          <w:rFonts w:ascii="Calibri" w:hAnsi="Calibri"/>
          <w:i/>
          <w:iCs/>
          <w:noProof/>
        </w:rPr>
        <w:t xml:space="preserve"> </w:t>
      </w:r>
      <w:r w:rsidRPr="009F3E9E">
        <w:rPr>
          <w:rFonts w:ascii="Calibri" w:hAnsi="Calibri"/>
          <w:i/>
          <w:iCs/>
          <w:noProof/>
          <w:lang w:val="en-US"/>
        </w:rPr>
        <w:t>ASABE</w:t>
      </w:r>
      <w:r w:rsidRPr="009F3E9E">
        <w:rPr>
          <w:rFonts w:ascii="Calibri" w:hAnsi="Calibri"/>
          <w:noProof/>
        </w:rPr>
        <w:t xml:space="preserve">, 50(3), </w:t>
      </w:r>
      <w:r w:rsidRPr="009F3E9E">
        <w:rPr>
          <w:rFonts w:ascii="Calibri" w:hAnsi="Calibri"/>
          <w:noProof/>
          <w:lang w:val="en-US"/>
        </w:rPr>
        <w:t>pp</w:t>
      </w:r>
      <w:r w:rsidRPr="009F3E9E">
        <w:rPr>
          <w:rFonts w:ascii="Calibri" w:hAnsi="Calibri"/>
          <w:noProof/>
        </w:rPr>
        <w:t xml:space="preserve">.885–900. </w:t>
      </w:r>
      <w:r w:rsidRPr="009F3E9E">
        <w:rPr>
          <w:rFonts w:ascii="Calibri" w:hAnsi="Calibri"/>
          <w:noProof/>
          <w:lang w:val="en-US"/>
        </w:rPr>
        <w:t>Available</w:t>
      </w:r>
      <w:r w:rsidRPr="009F3E9E">
        <w:rPr>
          <w:rFonts w:ascii="Calibri" w:hAnsi="Calibri"/>
          <w:noProof/>
        </w:rPr>
        <w:t xml:space="preserve"> </w:t>
      </w:r>
      <w:r w:rsidRPr="009F3E9E">
        <w:rPr>
          <w:rFonts w:ascii="Calibri" w:hAnsi="Calibri"/>
          <w:noProof/>
          <w:lang w:val="en-US"/>
        </w:rPr>
        <w:t>at</w:t>
      </w:r>
      <w:r w:rsidRPr="009F3E9E">
        <w:rPr>
          <w:rFonts w:ascii="Calibri" w:hAnsi="Calibri"/>
          <w:noProof/>
        </w:rPr>
        <w:t xml:space="preserve">: </w:t>
      </w:r>
      <w:r w:rsidRPr="009F3E9E">
        <w:rPr>
          <w:rFonts w:ascii="Calibri" w:hAnsi="Calibri"/>
          <w:noProof/>
          <w:lang w:val="en-US"/>
        </w:rPr>
        <w:t>http</w:t>
      </w:r>
      <w:r w:rsidRPr="009F3E9E">
        <w:rPr>
          <w:rFonts w:ascii="Calibri" w:hAnsi="Calibri"/>
          <w:noProof/>
        </w:rPr>
        <w:t>://</w:t>
      </w:r>
      <w:r w:rsidRPr="009F3E9E">
        <w:rPr>
          <w:rFonts w:ascii="Calibri" w:hAnsi="Calibri"/>
          <w:noProof/>
          <w:lang w:val="en-US"/>
        </w:rPr>
        <w:t>swat</w:t>
      </w:r>
      <w:r w:rsidRPr="009F3E9E">
        <w:rPr>
          <w:rFonts w:ascii="Calibri" w:hAnsi="Calibri"/>
          <w:noProof/>
        </w:rPr>
        <w:t>.</w:t>
      </w:r>
      <w:r w:rsidRPr="009F3E9E">
        <w:rPr>
          <w:rFonts w:ascii="Calibri" w:hAnsi="Calibri"/>
          <w:noProof/>
          <w:lang w:val="en-US"/>
        </w:rPr>
        <w:t>tamu</w:t>
      </w:r>
      <w:r w:rsidRPr="009F3E9E">
        <w:rPr>
          <w:rFonts w:ascii="Calibri" w:hAnsi="Calibri"/>
          <w:noProof/>
        </w:rPr>
        <w:t>.</w:t>
      </w:r>
      <w:r w:rsidRPr="009F3E9E">
        <w:rPr>
          <w:rFonts w:ascii="Calibri" w:hAnsi="Calibri"/>
          <w:noProof/>
          <w:lang w:val="en-US"/>
        </w:rPr>
        <w:t>edu</w:t>
      </w:r>
      <w:r w:rsidRPr="009F3E9E">
        <w:rPr>
          <w:rFonts w:ascii="Calibri" w:hAnsi="Calibri"/>
          <w:noProof/>
        </w:rPr>
        <w:t>/</w:t>
      </w:r>
      <w:r w:rsidRPr="009F3E9E">
        <w:rPr>
          <w:rFonts w:ascii="Calibri" w:hAnsi="Calibri"/>
          <w:noProof/>
          <w:lang w:val="en-US"/>
        </w:rPr>
        <w:t>media</w:t>
      </w:r>
      <w:r w:rsidRPr="009F3E9E">
        <w:rPr>
          <w:rFonts w:ascii="Calibri" w:hAnsi="Calibri"/>
          <w:noProof/>
        </w:rPr>
        <w:t>/1312/</w:t>
      </w:r>
      <w:r w:rsidRPr="009F3E9E">
        <w:rPr>
          <w:rFonts w:ascii="Calibri" w:hAnsi="Calibri"/>
          <w:noProof/>
          <w:lang w:val="en-US"/>
        </w:rPr>
        <w:t>moriasimodeleval</w:t>
      </w:r>
      <w:r w:rsidRPr="009F3E9E">
        <w:rPr>
          <w:rFonts w:ascii="Calibri" w:hAnsi="Calibri"/>
          <w:noProof/>
        </w:rPr>
        <w:t>.</w:t>
      </w:r>
      <w:r w:rsidRPr="009F3E9E">
        <w:rPr>
          <w:rFonts w:ascii="Calibri" w:hAnsi="Calibri"/>
          <w:noProof/>
          <w:lang w:val="en-US"/>
        </w:rPr>
        <w:t>pdf</w:t>
      </w:r>
      <w:r w:rsidRPr="009F3E9E">
        <w:rPr>
          <w:rFonts w:ascii="Calibri" w:hAnsi="Calibri"/>
          <w:noProof/>
        </w:rPr>
        <w:t>.</w:t>
      </w:r>
    </w:p>
    <w:p w:rsidR="009A41A7" w:rsidRPr="009F3E9E" w:rsidRDefault="009A41A7" w:rsidP="001A0DA9">
      <w:pPr>
        <w:jc w:val="both"/>
        <w:rPr>
          <w:sz w:val="24"/>
          <w:szCs w:val="24"/>
        </w:rPr>
      </w:pPr>
      <w:r w:rsidRPr="009F3E9E">
        <w:rPr>
          <w:sz w:val="24"/>
          <w:szCs w:val="24"/>
        </w:rPr>
        <w:t xml:space="preserve">Αφού ολοκληρώσετε την βαθμονόμηση θα συγγράψετε ατομική έκθεση 20 σελίδων που θα περιέχει τις παρακάτω ενότητες: </w:t>
      </w:r>
    </w:p>
    <w:p w:rsidR="001A0DA9" w:rsidRPr="009F3E9E" w:rsidRDefault="001A0DA9" w:rsidP="009A41A7">
      <w:pPr>
        <w:pStyle w:val="ListParagraph"/>
        <w:numPr>
          <w:ilvl w:val="0"/>
          <w:numId w:val="3"/>
        </w:numPr>
        <w:jc w:val="both"/>
        <w:rPr>
          <w:sz w:val="24"/>
          <w:szCs w:val="24"/>
        </w:rPr>
      </w:pPr>
      <w:r w:rsidRPr="009F3E9E">
        <w:rPr>
          <w:sz w:val="24"/>
          <w:szCs w:val="24"/>
        </w:rPr>
        <w:t>Εισαγωγή</w:t>
      </w:r>
      <w:r w:rsidR="009A41A7" w:rsidRPr="009F3E9E">
        <w:rPr>
          <w:sz w:val="24"/>
          <w:szCs w:val="24"/>
        </w:rPr>
        <w:t xml:space="preserve"> (Εισαγωγή στο πρόβλημα και στόχος της εργασίας)</w:t>
      </w:r>
    </w:p>
    <w:p w:rsidR="001A0DA9" w:rsidRPr="009F3E9E" w:rsidRDefault="001A0DA9" w:rsidP="009A41A7">
      <w:pPr>
        <w:pStyle w:val="ListParagraph"/>
        <w:numPr>
          <w:ilvl w:val="0"/>
          <w:numId w:val="3"/>
        </w:numPr>
        <w:jc w:val="both"/>
        <w:rPr>
          <w:sz w:val="24"/>
          <w:szCs w:val="24"/>
        </w:rPr>
      </w:pPr>
      <w:r w:rsidRPr="009F3E9E">
        <w:rPr>
          <w:sz w:val="24"/>
          <w:szCs w:val="24"/>
        </w:rPr>
        <w:t xml:space="preserve">Περιγραφή της Λεκάνης Απορροής (γεωμορφολογία, χρήσεις γης, </w:t>
      </w:r>
      <w:r w:rsidR="009A41A7" w:rsidRPr="009F3E9E">
        <w:rPr>
          <w:sz w:val="24"/>
          <w:szCs w:val="24"/>
        </w:rPr>
        <w:t xml:space="preserve">εδάφη, </w:t>
      </w:r>
      <w:r w:rsidRPr="009F3E9E">
        <w:rPr>
          <w:sz w:val="24"/>
          <w:szCs w:val="24"/>
        </w:rPr>
        <w:t>πιέσεις</w:t>
      </w:r>
      <w:r w:rsidR="009A41A7" w:rsidRPr="009F3E9E">
        <w:rPr>
          <w:sz w:val="24"/>
          <w:szCs w:val="24"/>
        </w:rPr>
        <w:t xml:space="preserve">, βροχοπτώσεις, θερμοκρασία </w:t>
      </w:r>
      <w:proofErr w:type="spellStart"/>
      <w:r w:rsidR="009A41A7" w:rsidRPr="009F3E9E">
        <w:rPr>
          <w:sz w:val="24"/>
          <w:szCs w:val="24"/>
        </w:rPr>
        <w:t>κτλ</w:t>
      </w:r>
      <w:proofErr w:type="spellEnd"/>
      <w:r w:rsidR="009A41A7" w:rsidRPr="009F3E9E">
        <w:rPr>
          <w:sz w:val="24"/>
          <w:szCs w:val="24"/>
        </w:rPr>
        <w:t>)</w:t>
      </w:r>
    </w:p>
    <w:p w:rsidR="009A41A7" w:rsidRPr="009F3E9E" w:rsidRDefault="009A41A7" w:rsidP="009A41A7">
      <w:pPr>
        <w:pStyle w:val="ListParagraph"/>
        <w:numPr>
          <w:ilvl w:val="0"/>
          <w:numId w:val="3"/>
        </w:numPr>
        <w:jc w:val="both"/>
        <w:rPr>
          <w:sz w:val="24"/>
          <w:szCs w:val="24"/>
        </w:rPr>
      </w:pPr>
      <w:r w:rsidRPr="009F3E9E">
        <w:rPr>
          <w:sz w:val="24"/>
          <w:szCs w:val="24"/>
        </w:rPr>
        <w:t>Περιγραφή Μοντέλου</w:t>
      </w:r>
    </w:p>
    <w:p w:rsidR="009A41A7" w:rsidRPr="009F3E9E" w:rsidRDefault="009A41A7" w:rsidP="009A41A7">
      <w:pPr>
        <w:pStyle w:val="ListParagraph"/>
        <w:numPr>
          <w:ilvl w:val="0"/>
          <w:numId w:val="3"/>
        </w:numPr>
        <w:jc w:val="both"/>
        <w:rPr>
          <w:sz w:val="24"/>
          <w:szCs w:val="24"/>
        </w:rPr>
      </w:pPr>
      <w:proofErr w:type="spellStart"/>
      <w:r w:rsidRPr="009F3E9E">
        <w:rPr>
          <w:sz w:val="24"/>
          <w:szCs w:val="24"/>
        </w:rPr>
        <w:t>Μοντελοποίησης</w:t>
      </w:r>
      <w:proofErr w:type="spellEnd"/>
      <w:r w:rsidRPr="009F3E9E">
        <w:rPr>
          <w:sz w:val="24"/>
          <w:szCs w:val="24"/>
        </w:rPr>
        <w:t xml:space="preserve"> της Υδρολογίας – Αποτελέσματα</w:t>
      </w:r>
    </w:p>
    <w:p w:rsidR="009A41A7" w:rsidRPr="009F3E9E" w:rsidRDefault="009A41A7" w:rsidP="009A41A7">
      <w:pPr>
        <w:pStyle w:val="ListParagraph"/>
        <w:numPr>
          <w:ilvl w:val="0"/>
          <w:numId w:val="3"/>
        </w:numPr>
        <w:jc w:val="both"/>
        <w:rPr>
          <w:sz w:val="24"/>
          <w:szCs w:val="24"/>
        </w:rPr>
      </w:pPr>
      <w:r w:rsidRPr="009F3E9E">
        <w:rPr>
          <w:sz w:val="24"/>
          <w:szCs w:val="24"/>
        </w:rPr>
        <w:t>Συμπεράσματα</w:t>
      </w:r>
    </w:p>
    <w:p w:rsidR="009A41A7" w:rsidRPr="009F3E9E" w:rsidRDefault="009A41A7" w:rsidP="009A41A7">
      <w:pPr>
        <w:pStyle w:val="ListParagraph"/>
        <w:numPr>
          <w:ilvl w:val="0"/>
          <w:numId w:val="3"/>
        </w:numPr>
        <w:jc w:val="both"/>
        <w:rPr>
          <w:sz w:val="24"/>
          <w:szCs w:val="24"/>
        </w:rPr>
      </w:pPr>
      <w:r w:rsidRPr="009F3E9E">
        <w:rPr>
          <w:sz w:val="24"/>
          <w:szCs w:val="24"/>
        </w:rPr>
        <w:t>Βιβλιογραφία</w:t>
      </w:r>
    </w:p>
    <w:p w:rsidR="009A41A7" w:rsidRPr="009F3E9E" w:rsidRDefault="009F3E9E" w:rsidP="001A0DA9">
      <w:pPr>
        <w:jc w:val="both"/>
        <w:rPr>
          <w:sz w:val="24"/>
          <w:szCs w:val="24"/>
        </w:rPr>
      </w:pPr>
      <w:r w:rsidRPr="009F3E9E">
        <w:rPr>
          <w:sz w:val="24"/>
          <w:szCs w:val="24"/>
        </w:rPr>
        <w:t>Η βαθμονόμηση μπορεί να γίνει ομαδικά αλλά οι εργασίες θα είναι ατομικές και θα πιάνουν το 20% της βαθμολογίας του μαθήματος.</w:t>
      </w:r>
    </w:p>
    <w:p w:rsidR="009A41A7" w:rsidRPr="009F3E9E" w:rsidRDefault="009F3E9E" w:rsidP="001A0DA9">
      <w:pPr>
        <w:jc w:val="both"/>
        <w:rPr>
          <w:sz w:val="24"/>
          <w:szCs w:val="24"/>
        </w:rPr>
      </w:pPr>
      <w:r w:rsidRPr="009F3E9E">
        <w:rPr>
          <w:sz w:val="24"/>
          <w:szCs w:val="24"/>
        </w:rPr>
        <w:t xml:space="preserve">Το </w:t>
      </w:r>
      <w:r w:rsidRPr="009F3E9E">
        <w:rPr>
          <w:sz w:val="24"/>
          <w:szCs w:val="24"/>
          <w:lang w:val="en-US"/>
        </w:rPr>
        <w:t>Project</w:t>
      </w:r>
      <w:r w:rsidRPr="009F3E9E">
        <w:rPr>
          <w:sz w:val="24"/>
          <w:szCs w:val="24"/>
        </w:rPr>
        <w:t xml:space="preserve"> θα πρέπει να το έχετε τελειώσει μέχρι την Πέμπτη 5 Μαΐου 2022 στις 17.00.</w:t>
      </w:r>
    </w:p>
    <w:sectPr w:rsidR="009A41A7" w:rsidRPr="009F3E9E" w:rsidSect="00E021CC">
      <w:pgSz w:w="11906" w:h="16838"/>
      <w:pgMar w:top="1440" w:right="1080" w:bottom="1440" w:left="108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7104A8E"/>
    <w:multiLevelType w:val="hybridMultilevel"/>
    <w:tmpl w:val="DC70521C"/>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 w15:restartNumberingAfterBreak="0">
    <w:nsid w:val="53856E7C"/>
    <w:multiLevelType w:val="hybridMultilevel"/>
    <w:tmpl w:val="CD6678F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596A132A"/>
    <w:multiLevelType w:val="hybridMultilevel"/>
    <w:tmpl w:val="C14AD3F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23163"/>
    <w:rsid w:val="00011F88"/>
    <w:rsid w:val="0002590D"/>
    <w:rsid w:val="000B4AF7"/>
    <w:rsid w:val="001A0DA9"/>
    <w:rsid w:val="00223163"/>
    <w:rsid w:val="002521EB"/>
    <w:rsid w:val="002A3D78"/>
    <w:rsid w:val="00326640"/>
    <w:rsid w:val="00363CD9"/>
    <w:rsid w:val="00442992"/>
    <w:rsid w:val="00477154"/>
    <w:rsid w:val="004C1FDF"/>
    <w:rsid w:val="005A0A35"/>
    <w:rsid w:val="005F6509"/>
    <w:rsid w:val="00616270"/>
    <w:rsid w:val="006332AF"/>
    <w:rsid w:val="00637F55"/>
    <w:rsid w:val="007619CA"/>
    <w:rsid w:val="007D4229"/>
    <w:rsid w:val="00813655"/>
    <w:rsid w:val="00866CC1"/>
    <w:rsid w:val="008D002C"/>
    <w:rsid w:val="0092161F"/>
    <w:rsid w:val="00934A1D"/>
    <w:rsid w:val="00935D71"/>
    <w:rsid w:val="009A41A7"/>
    <w:rsid w:val="009F3E9E"/>
    <w:rsid w:val="00A77F32"/>
    <w:rsid w:val="00CC638D"/>
    <w:rsid w:val="00CF4EA6"/>
    <w:rsid w:val="00D17D97"/>
    <w:rsid w:val="00E021CC"/>
    <w:rsid w:val="00E609BE"/>
    <w:rsid w:val="00FB1FCA"/>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D37E97"/>
  <w15:docId w15:val="{47FC2C77-7E8F-4A0B-8E56-8D01627C24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l-GR"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D17D97"/>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22316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23163"/>
    <w:rPr>
      <w:rFonts w:ascii="Tahoma" w:hAnsi="Tahoma" w:cs="Tahoma"/>
      <w:sz w:val="16"/>
      <w:szCs w:val="16"/>
    </w:rPr>
  </w:style>
  <w:style w:type="character" w:styleId="PlaceholderText">
    <w:name w:val="Placeholder Text"/>
    <w:basedOn w:val="DefaultParagraphFont"/>
    <w:uiPriority w:val="99"/>
    <w:semiHidden/>
    <w:rsid w:val="005F6509"/>
    <w:rPr>
      <w:color w:val="808080"/>
    </w:rPr>
  </w:style>
  <w:style w:type="paragraph" w:styleId="ListParagraph">
    <w:name w:val="List Paragraph"/>
    <w:basedOn w:val="Normal"/>
    <w:uiPriority w:val="34"/>
    <w:qFormat/>
    <w:rsid w:val="005F6509"/>
    <w:pPr>
      <w:ind w:left="720"/>
      <w:contextualSpacing/>
    </w:pPr>
  </w:style>
  <w:style w:type="paragraph" w:styleId="Caption">
    <w:name w:val="caption"/>
    <w:basedOn w:val="Normal"/>
    <w:next w:val="Normal"/>
    <w:uiPriority w:val="35"/>
    <w:unhideWhenUsed/>
    <w:qFormat/>
    <w:rsid w:val="00326640"/>
    <w:pPr>
      <w:spacing w:line="240" w:lineRule="auto"/>
    </w:pPr>
    <w:rPr>
      <w:b/>
      <w:bCs/>
      <w:color w:val="4F81BD" w:themeColor="accent1"/>
      <w:sz w:val="18"/>
      <w:szCs w:val="18"/>
    </w:rPr>
  </w:style>
  <w:style w:type="paragraph" w:customStyle="1" w:styleId="Default">
    <w:name w:val="Default"/>
    <w:rsid w:val="00A77F32"/>
    <w:pPr>
      <w:autoSpaceDE w:val="0"/>
      <w:autoSpaceDN w:val="0"/>
      <w:adjustRightInd w:val="0"/>
      <w:spacing w:after="0" w:line="240" w:lineRule="auto"/>
    </w:pPr>
    <w:rPr>
      <w:rFonts w:ascii="Calibri" w:hAnsi="Calibri" w:cs="Calibri"/>
      <w:color w:val="000000"/>
      <w:sz w:val="24"/>
      <w:szCs w:val="24"/>
      <w:lang w:val="en-US"/>
    </w:rPr>
  </w:style>
  <w:style w:type="table" w:styleId="TableGrid">
    <w:name w:val="Table Grid"/>
    <w:basedOn w:val="TableNormal"/>
    <w:uiPriority w:val="59"/>
    <w:rsid w:val="00A77F3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1A0DA9"/>
    <w:pPr>
      <w:spacing w:before="100" w:beforeAutospacing="1" w:after="100" w:afterAutospacing="1" w:line="240" w:lineRule="auto"/>
    </w:pPr>
    <w:rPr>
      <w:rFonts w:ascii="Times New Roman" w:eastAsia="Times New Roman" w:hAnsi="Times New Roman" w:cs="Times New Roman"/>
      <w:sz w:val="24"/>
      <w:szCs w:val="24"/>
      <w:lang w:eastAsia="el-G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0F842F54-C4DB-4100-A80A-FFADA2DAAE0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30</TotalTime>
  <Pages>1</Pages>
  <Words>757</Words>
  <Characters>4320</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5067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Sophia</dc:creator>
  <cp:lastModifiedBy>Nikolaidis Nikolaos</cp:lastModifiedBy>
  <cp:revision>3</cp:revision>
  <cp:lastPrinted>2022-04-01T11:28:00Z</cp:lastPrinted>
  <dcterms:created xsi:type="dcterms:W3CDTF">2022-04-03T13:32:00Z</dcterms:created>
  <dcterms:modified xsi:type="dcterms:W3CDTF">2022-04-03T14:04:00Z</dcterms:modified>
</cp:coreProperties>
</file>